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DDB68" w14:textId="77777777" w:rsidR="002A139C" w:rsidRDefault="002A139C" w:rsidP="002A139C">
      <w:pPr>
        <w:jc w:val="center"/>
        <w:rPr>
          <w:b/>
          <w:bCs/>
        </w:rPr>
      </w:pPr>
    </w:p>
    <w:p w14:paraId="17557B5D" w14:textId="32A7134D" w:rsidR="00D6071E" w:rsidRDefault="002A139C" w:rsidP="002A139C">
      <w:pPr>
        <w:jc w:val="center"/>
        <w:rPr>
          <w:b/>
          <w:bCs/>
        </w:rPr>
      </w:pPr>
      <w:r>
        <w:rPr>
          <w:b/>
          <w:bCs/>
        </w:rPr>
        <w:t>How do I define our key terms?</w:t>
      </w:r>
    </w:p>
    <w:p w14:paraId="4E9C47BD" w14:textId="5C790489" w:rsidR="002A139C" w:rsidRDefault="002A139C" w:rsidP="002A139C">
      <w:pPr>
        <w:jc w:val="center"/>
        <w:rPr>
          <w:b/>
          <w:bCs/>
        </w:rPr>
      </w:pPr>
    </w:p>
    <w:p w14:paraId="29AFE4AC" w14:textId="019F4603" w:rsidR="002A139C" w:rsidRPr="002A139C" w:rsidRDefault="002A139C" w:rsidP="002A139C">
      <w:r w:rsidRPr="002A139C">
        <w:t>The Table below gives you a list of terms our Management Team believe are central to our study, and some preliminary definitions.</w:t>
      </w:r>
    </w:p>
    <w:p w14:paraId="564D9CCF" w14:textId="7A85821F" w:rsidR="002A139C" w:rsidRPr="002A139C" w:rsidRDefault="002A139C" w:rsidP="002A139C"/>
    <w:p w14:paraId="49C68F98" w14:textId="38FB9AA6" w:rsidR="002A139C" w:rsidRDefault="002A139C" w:rsidP="002A139C">
      <w:r w:rsidRPr="002A139C">
        <w:t xml:space="preserve">We </w:t>
      </w:r>
      <w:r>
        <w:t xml:space="preserve">are hoping you might look over what we have done, and (1) add more terms if you feel they are needed; and (2) adjust the descriptions we have provided if you feel they are not quite right (or totally wrong!). </w:t>
      </w:r>
    </w:p>
    <w:p w14:paraId="74071026" w14:textId="77777777" w:rsidR="002A139C" w:rsidRDefault="002A139C" w:rsidP="002A139C"/>
    <w:p w14:paraId="6EDDCB28" w14:textId="023656C3" w:rsidR="002A139C" w:rsidRPr="002A139C" w:rsidRDefault="002A139C" w:rsidP="002A139C">
      <w:r>
        <w:t xml:space="preserve">You may wish to simply add a comment, rather than re-work definitions.  </w:t>
      </w:r>
      <w:r w:rsidRPr="002A139C">
        <w:t xml:space="preserve"> </w:t>
      </w:r>
    </w:p>
    <w:p w14:paraId="56E4DAED" w14:textId="24AF8B71" w:rsidR="0062450C" w:rsidRDefault="0062450C"/>
    <w:p w14:paraId="7D85439E" w14:textId="28A396C2" w:rsidR="0062450C" w:rsidRDefault="0062450C"/>
    <w:p w14:paraId="26DB4A9F" w14:textId="45CA8DCD" w:rsidR="002A139C" w:rsidRDefault="002A139C"/>
    <w:tbl>
      <w:tblPr>
        <w:tblW w:w="130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55"/>
        <w:gridCol w:w="10193"/>
      </w:tblGrid>
      <w:tr w:rsidR="002A139C" w:rsidRPr="002A139C" w14:paraId="648AA33A" w14:textId="77777777" w:rsidTr="002A139C">
        <w:trPr>
          <w:trHeight w:val="461"/>
        </w:trPr>
        <w:tc>
          <w:tcPr>
            <w:tcW w:w="2855" w:type="dxa"/>
            <w:tcBorders>
              <w:top w:val="single" w:sz="18" w:space="0" w:color="FFFFFF"/>
              <w:left w:val="single" w:sz="6" w:space="0" w:color="FFFFFF"/>
              <w:bottom w:val="single" w:sz="6" w:space="0" w:color="FFFFFF"/>
              <w:right w:val="single" w:sz="6" w:space="0" w:color="FFFFFF"/>
            </w:tcBorders>
            <w:shd w:val="clear" w:color="auto" w:fill="CFD5EA"/>
            <w:hideMark/>
          </w:tcPr>
          <w:p w14:paraId="05450774" w14:textId="77777777"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000000"/>
                <w:sz w:val="27"/>
                <w:szCs w:val="27"/>
                <w:lang w:val="en-GB" w:eastAsia="en-GB"/>
              </w:rPr>
              <w:t>Student experience</w:t>
            </w:r>
            <w:r w:rsidRPr="002A139C">
              <w:rPr>
                <w:rFonts w:ascii="Calibri" w:eastAsia="Times New Roman" w:hAnsi="Calibri" w:cs="Calibri"/>
                <w:color w:val="000000"/>
                <w:sz w:val="27"/>
                <w:szCs w:val="27"/>
                <w:lang w:val="en-US" w:eastAsia="en-GB"/>
              </w:rPr>
              <w:t>​</w:t>
            </w:r>
          </w:p>
        </w:tc>
        <w:tc>
          <w:tcPr>
            <w:tcW w:w="10193" w:type="dxa"/>
            <w:tcBorders>
              <w:top w:val="single" w:sz="18" w:space="0" w:color="FFFFFF"/>
              <w:left w:val="single" w:sz="6" w:space="0" w:color="FFFFFF"/>
              <w:bottom w:val="single" w:sz="6" w:space="0" w:color="FFFFFF"/>
              <w:right w:val="single" w:sz="6" w:space="0" w:color="FFFFFF"/>
            </w:tcBorders>
            <w:shd w:val="clear" w:color="auto" w:fill="CFD5EA"/>
            <w:hideMark/>
          </w:tcPr>
          <w:p w14:paraId="443B8D6F" w14:textId="64C47384"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000000"/>
                <w:sz w:val="27"/>
                <w:szCs w:val="27"/>
                <w:lang w:val="en-GB" w:eastAsia="en-GB"/>
              </w:rPr>
              <w:t xml:space="preserve">Student experience is how students engage physically, socially, </w:t>
            </w:r>
            <w:r w:rsidR="002A0E10" w:rsidRPr="002A139C">
              <w:rPr>
                <w:rFonts w:ascii="Calibri" w:eastAsia="Times New Roman" w:hAnsi="Calibri" w:cs="Calibri"/>
                <w:color w:val="000000"/>
                <w:sz w:val="27"/>
                <w:szCs w:val="27"/>
                <w:lang w:val="en-GB" w:eastAsia="en-GB"/>
              </w:rPr>
              <w:t>emotionally,</w:t>
            </w:r>
            <w:r w:rsidRPr="002A139C">
              <w:rPr>
                <w:rFonts w:ascii="Calibri" w:eastAsia="Times New Roman" w:hAnsi="Calibri" w:cs="Calibri"/>
                <w:color w:val="000000"/>
                <w:sz w:val="27"/>
                <w:szCs w:val="27"/>
                <w:lang w:val="en-GB" w:eastAsia="en-GB"/>
              </w:rPr>
              <w:t xml:space="preserve"> and academically in their schooling. It acknowledges that students’ experiences are impacted by external factors (policies, </w:t>
            </w:r>
            <w:r w:rsidR="002A0E10" w:rsidRPr="002A139C">
              <w:rPr>
                <w:rFonts w:ascii="Calibri" w:eastAsia="Times New Roman" w:hAnsi="Calibri" w:cs="Calibri"/>
                <w:color w:val="000000"/>
                <w:sz w:val="27"/>
                <w:szCs w:val="27"/>
                <w:lang w:val="en-GB" w:eastAsia="en-GB"/>
              </w:rPr>
              <w:t>structures,</w:t>
            </w:r>
            <w:r w:rsidRPr="002A139C">
              <w:rPr>
                <w:rFonts w:ascii="Calibri" w:eastAsia="Times New Roman" w:hAnsi="Calibri" w:cs="Calibri"/>
                <w:color w:val="000000"/>
                <w:sz w:val="27"/>
                <w:szCs w:val="27"/>
                <w:lang w:val="en-GB" w:eastAsia="en-GB"/>
              </w:rPr>
              <w:t xml:space="preserve"> and practices) as well as their individual perceptions of what it means to be ‘at school’.</w:t>
            </w:r>
            <w:r w:rsidRPr="002A139C">
              <w:rPr>
                <w:rFonts w:ascii="Calibri" w:eastAsia="Times New Roman" w:hAnsi="Calibri" w:cs="Calibri"/>
                <w:color w:val="000000"/>
                <w:sz w:val="27"/>
                <w:szCs w:val="27"/>
                <w:lang w:val="en-US" w:eastAsia="en-GB"/>
              </w:rPr>
              <w:t>​</w:t>
            </w:r>
          </w:p>
          <w:p w14:paraId="3BADC02E" w14:textId="77777777" w:rsidR="002A139C" w:rsidRPr="002A139C" w:rsidRDefault="002A139C" w:rsidP="002A139C">
            <w:pPr>
              <w:textAlignment w:val="baseline"/>
              <w:rPr>
                <w:rFonts w:ascii="Segoe UI" w:eastAsia="Times New Roman" w:hAnsi="Segoe UI" w:cs="Segoe UI"/>
                <w:color w:val="000000"/>
                <w:sz w:val="18"/>
                <w:szCs w:val="18"/>
                <w:lang w:val="en-GB" w:eastAsia="en-GB"/>
              </w:rPr>
            </w:pPr>
            <w:r w:rsidRPr="002A139C">
              <w:rPr>
                <w:rFonts w:ascii="Calibri" w:eastAsia="Times New Roman" w:hAnsi="Calibri" w:cs="Calibri"/>
                <w:color w:val="000000"/>
                <w:sz w:val="27"/>
                <w:szCs w:val="27"/>
                <w:lang w:val="en-GB" w:eastAsia="en-GB"/>
              </w:rPr>
              <w:t>​</w:t>
            </w:r>
          </w:p>
          <w:p w14:paraId="13B26AEC" w14:textId="23801BFF"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548235"/>
                <w:sz w:val="27"/>
                <w:szCs w:val="27"/>
                <w:lang w:val="en-GB" w:eastAsia="en-GB"/>
              </w:rPr>
              <w:t>For this study, </w:t>
            </w:r>
            <w:r w:rsidRPr="002A139C">
              <w:rPr>
                <w:rFonts w:ascii="Calibri" w:eastAsia="Times New Roman" w:hAnsi="Calibri" w:cs="Calibri"/>
                <w:i/>
                <w:iCs/>
                <w:color w:val="548235"/>
                <w:sz w:val="27"/>
                <w:szCs w:val="27"/>
                <w:lang w:val="en-GB" w:eastAsia="en-GB"/>
              </w:rPr>
              <w:t>student experience</w:t>
            </w:r>
            <w:r w:rsidRPr="002A139C">
              <w:rPr>
                <w:rFonts w:ascii="Calibri" w:eastAsia="Times New Roman" w:hAnsi="Calibri" w:cs="Calibri"/>
                <w:color w:val="548235"/>
                <w:sz w:val="27"/>
                <w:szCs w:val="27"/>
                <w:lang w:val="en-GB" w:eastAsia="en-GB"/>
              </w:rPr>
              <w:t xml:space="preserve"> is defined as the social, </w:t>
            </w:r>
            <w:r w:rsidR="002A0E10" w:rsidRPr="002A139C">
              <w:rPr>
                <w:rFonts w:ascii="Calibri" w:eastAsia="Times New Roman" w:hAnsi="Calibri" w:cs="Calibri"/>
                <w:color w:val="548235"/>
                <w:sz w:val="27"/>
                <w:szCs w:val="27"/>
                <w:lang w:val="en-GB" w:eastAsia="en-GB"/>
              </w:rPr>
              <w:t>emotional,</w:t>
            </w:r>
            <w:r w:rsidRPr="002A139C">
              <w:rPr>
                <w:rFonts w:ascii="Calibri" w:eastAsia="Times New Roman" w:hAnsi="Calibri" w:cs="Calibri"/>
                <w:color w:val="548235"/>
                <w:sz w:val="27"/>
                <w:szCs w:val="27"/>
                <w:lang w:val="en-GB" w:eastAsia="en-GB"/>
              </w:rPr>
              <w:t xml:space="preserve"> and academic effect for individuals of 'being at school'. The study acknowledges no two students enjoy the same experience and are influenced by policies, structures and practices that limit or provide opportunity for equal and </w:t>
            </w:r>
            <w:r w:rsidR="002A0E10" w:rsidRPr="002A139C">
              <w:rPr>
                <w:rFonts w:ascii="Calibri" w:eastAsia="Times New Roman" w:hAnsi="Calibri" w:cs="Calibri"/>
                <w:color w:val="548235"/>
                <w:sz w:val="27"/>
                <w:szCs w:val="27"/>
                <w:lang w:val="en-GB" w:eastAsia="en-GB"/>
              </w:rPr>
              <w:t>equitable participation</w:t>
            </w:r>
            <w:r w:rsidRPr="002A139C">
              <w:rPr>
                <w:rFonts w:ascii="Calibri" w:eastAsia="Times New Roman" w:hAnsi="Calibri" w:cs="Calibri"/>
                <w:color w:val="548235"/>
                <w:sz w:val="27"/>
                <w:szCs w:val="27"/>
                <w:lang w:val="en-GB" w:eastAsia="en-GB"/>
              </w:rPr>
              <w:t>. </w:t>
            </w:r>
            <w:r w:rsidRPr="002A139C">
              <w:rPr>
                <w:rFonts w:ascii="Calibri" w:eastAsia="Times New Roman" w:hAnsi="Calibri" w:cs="Calibri"/>
                <w:color w:val="000000"/>
                <w:sz w:val="27"/>
                <w:szCs w:val="27"/>
                <w:lang w:val="en-US" w:eastAsia="en-GB"/>
              </w:rPr>
              <w:t>​</w:t>
            </w:r>
          </w:p>
          <w:p w14:paraId="3EBC9AC7" w14:textId="77777777" w:rsidR="002A139C" w:rsidRPr="002A139C" w:rsidRDefault="002A139C" w:rsidP="002A139C">
            <w:pPr>
              <w:textAlignment w:val="baseline"/>
              <w:rPr>
                <w:rFonts w:ascii="Segoe UI" w:eastAsia="Times New Roman" w:hAnsi="Segoe UI" w:cs="Segoe UI"/>
                <w:color w:val="000000"/>
                <w:sz w:val="18"/>
                <w:szCs w:val="18"/>
                <w:lang w:val="en-GB" w:eastAsia="en-GB"/>
              </w:rPr>
            </w:pPr>
            <w:r w:rsidRPr="002A139C">
              <w:rPr>
                <w:rFonts w:ascii="Calibri" w:eastAsia="Times New Roman" w:hAnsi="Calibri" w:cs="Calibri"/>
                <w:color w:val="000000"/>
                <w:sz w:val="27"/>
                <w:szCs w:val="27"/>
                <w:lang w:val="en-GB" w:eastAsia="en-GB"/>
              </w:rPr>
              <w:t>​</w:t>
            </w:r>
          </w:p>
        </w:tc>
      </w:tr>
      <w:tr w:rsidR="002A139C" w:rsidRPr="002A139C" w14:paraId="66B8300D"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E9EBF5"/>
            <w:hideMark/>
          </w:tcPr>
          <w:p w14:paraId="35A4C73B" w14:textId="77777777"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000000"/>
                <w:sz w:val="27"/>
                <w:szCs w:val="27"/>
                <w:lang w:val="en-GB" w:eastAsia="en-GB"/>
              </w:rPr>
              <w:t>Expert</w:t>
            </w:r>
            <w:r w:rsidRPr="002A139C">
              <w:rPr>
                <w:rFonts w:ascii="Calibri" w:eastAsia="Times New Roman" w:hAnsi="Calibri" w:cs="Calibri"/>
                <w:color w:val="000000"/>
                <w:sz w:val="27"/>
                <w:szCs w:val="27"/>
                <w:lang w:val="en-US" w:eastAsia="en-GB"/>
              </w:rPr>
              <w:t>​</w:t>
            </w:r>
          </w:p>
        </w:tc>
        <w:tc>
          <w:tcPr>
            <w:tcW w:w="10193" w:type="dxa"/>
            <w:tcBorders>
              <w:top w:val="single" w:sz="6" w:space="0" w:color="FFFFFF"/>
              <w:left w:val="single" w:sz="6" w:space="0" w:color="FFFFFF"/>
              <w:bottom w:val="single" w:sz="6" w:space="0" w:color="FFFFFF"/>
              <w:right w:val="single" w:sz="6" w:space="0" w:color="FFFFFF"/>
            </w:tcBorders>
            <w:shd w:val="clear" w:color="auto" w:fill="E9EBF5"/>
            <w:hideMark/>
          </w:tcPr>
          <w:p w14:paraId="0D7BF023" w14:textId="77777777"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000000"/>
                <w:sz w:val="27"/>
                <w:szCs w:val="27"/>
                <w:lang w:val="en-GB" w:eastAsia="en-GB"/>
              </w:rPr>
              <w:t>A person acknowledged by peers and from his/her accomplishments to have made a significant contribution to a specific field of inquiry or practice.</w:t>
            </w:r>
            <w:r w:rsidRPr="002A139C">
              <w:rPr>
                <w:rFonts w:ascii="Calibri" w:eastAsia="Times New Roman" w:hAnsi="Calibri" w:cs="Calibri"/>
                <w:color w:val="000000"/>
                <w:sz w:val="27"/>
                <w:szCs w:val="27"/>
                <w:lang w:val="en-US" w:eastAsia="en-GB"/>
              </w:rPr>
              <w:t>​</w:t>
            </w:r>
          </w:p>
        </w:tc>
      </w:tr>
      <w:tr w:rsidR="002A139C" w:rsidRPr="002A139C" w14:paraId="0F052413"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CFD5EA"/>
            <w:hideMark/>
          </w:tcPr>
          <w:p w14:paraId="43184B8C" w14:textId="77777777" w:rsidR="002A139C" w:rsidRPr="002A139C" w:rsidRDefault="002A139C" w:rsidP="002A139C">
            <w:pPr>
              <w:textAlignment w:val="baseline"/>
              <w:rPr>
                <w:rFonts w:ascii="Segoe UI" w:eastAsia="Times New Roman" w:hAnsi="Segoe UI" w:cs="Segoe UI"/>
                <w:color w:val="000000"/>
                <w:sz w:val="18"/>
                <w:szCs w:val="18"/>
                <w:lang w:val="en-US" w:eastAsia="en-GB"/>
              </w:rPr>
            </w:pPr>
            <w:r w:rsidRPr="002A139C">
              <w:rPr>
                <w:rFonts w:ascii="Calibri" w:eastAsia="Times New Roman" w:hAnsi="Calibri" w:cs="Calibri"/>
                <w:color w:val="000000"/>
                <w:sz w:val="27"/>
                <w:szCs w:val="27"/>
                <w:u w:val="single"/>
                <w:lang w:val="en-GB" w:eastAsia="en-GB"/>
              </w:rPr>
              <w:t>Inductive</w:t>
            </w:r>
            <w:r w:rsidRPr="002A139C">
              <w:rPr>
                <w:rFonts w:ascii="Calibri" w:eastAsia="Times New Roman" w:hAnsi="Calibri" w:cs="Calibri"/>
                <w:color w:val="000000"/>
                <w:sz w:val="27"/>
                <w:szCs w:val="27"/>
                <w:lang w:val="en-GB" w:eastAsia="en-GB"/>
              </w:rPr>
              <w:t> data analysis</w:t>
            </w:r>
            <w:r w:rsidRPr="002A139C">
              <w:rPr>
                <w:rFonts w:ascii="Calibri" w:eastAsia="Times New Roman" w:hAnsi="Calibri" w:cs="Calibri"/>
                <w:color w:val="000000"/>
                <w:sz w:val="27"/>
                <w:szCs w:val="27"/>
                <w:lang w:val="en-US" w:eastAsia="en-GB"/>
              </w:rPr>
              <w:t>​</w:t>
            </w:r>
          </w:p>
        </w:tc>
        <w:tc>
          <w:tcPr>
            <w:tcW w:w="10193" w:type="dxa"/>
            <w:tcBorders>
              <w:top w:val="single" w:sz="6" w:space="0" w:color="FFFFFF"/>
              <w:left w:val="single" w:sz="6" w:space="0" w:color="FFFFFF"/>
              <w:bottom w:val="single" w:sz="6" w:space="0" w:color="FFFFFF"/>
              <w:right w:val="single" w:sz="6" w:space="0" w:color="FFFFFF"/>
            </w:tcBorders>
            <w:shd w:val="clear" w:color="auto" w:fill="CFD5EA"/>
            <w:hideMark/>
          </w:tcPr>
          <w:p w14:paraId="1617181F" w14:textId="77777777" w:rsidR="002A139C" w:rsidRPr="002A139C" w:rsidRDefault="002A139C" w:rsidP="002A139C">
            <w:pPr>
              <w:textAlignment w:val="baseline"/>
              <w:rPr>
                <w:rFonts w:ascii="Segoe UI" w:eastAsia="Times New Roman" w:hAnsi="Segoe UI" w:cs="Segoe UI"/>
                <w:color w:val="000000"/>
                <w:sz w:val="18"/>
                <w:szCs w:val="18"/>
                <w:lang w:val="en-GB" w:eastAsia="en-GB"/>
              </w:rPr>
            </w:pPr>
            <w:r w:rsidRPr="002A139C">
              <w:rPr>
                <w:rFonts w:ascii="Calibri" w:eastAsia="Times New Roman" w:hAnsi="Calibri" w:cs="Calibri"/>
                <w:color w:val="000000"/>
                <w:sz w:val="27"/>
                <w:szCs w:val="27"/>
                <w:lang w:val="en-GB" w:eastAsia="en-GB"/>
              </w:rPr>
              <w:t>While deductive analysis occurs within the tight parameters of a defined framework, </w:t>
            </w:r>
            <w:r w:rsidRPr="002A139C">
              <w:rPr>
                <w:rFonts w:ascii="Calibri" w:eastAsia="Times New Roman" w:hAnsi="Calibri" w:cs="Calibri"/>
                <w:i/>
                <w:iCs/>
                <w:color w:val="000000"/>
                <w:sz w:val="27"/>
                <w:szCs w:val="27"/>
                <w:lang w:val="en-GB" w:eastAsia="en-GB"/>
              </w:rPr>
              <w:t>analysis of data becomes inductive </w:t>
            </w:r>
            <w:r w:rsidRPr="002A139C">
              <w:rPr>
                <w:rFonts w:ascii="Calibri" w:eastAsia="Times New Roman" w:hAnsi="Calibri" w:cs="Calibri"/>
                <w:color w:val="000000"/>
                <w:sz w:val="27"/>
                <w:szCs w:val="27"/>
                <w:lang w:val="en-GB" w:eastAsia="en-GB"/>
              </w:rPr>
              <w:t>when unstipulated concepts and findings are developed from the data themselves.​</w:t>
            </w:r>
          </w:p>
        </w:tc>
      </w:tr>
      <w:tr w:rsidR="002A139C" w:rsidRPr="002A139C" w14:paraId="45227FEC"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CFD5EA"/>
            <w:hideMark/>
          </w:tcPr>
          <w:p w14:paraId="012D2D5E" w14:textId="77777777" w:rsidR="002A139C" w:rsidRPr="002A139C" w:rsidRDefault="002A139C" w:rsidP="002A139C">
            <w:pPr>
              <w:textAlignment w:val="baseline"/>
              <w:rPr>
                <w:rFonts w:ascii="Calibri" w:eastAsia="Times New Roman" w:hAnsi="Calibri" w:cs="Calibri"/>
                <w:color w:val="000000"/>
                <w:sz w:val="27"/>
                <w:szCs w:val="27"/>
                <w:u w:val="single"/>
                <w:lang w:val="en-GB" w:eastAsia="en-GB"/>
              </w:rPr>
            </w:pPr>
            <w:r w:rsidRPr="002A139C">
              <w:rPr>
                <w:rFonts w:ascii="Calibri" w:eastAsia="Times New Roman" w:hAnsi="Calibri" w:cs="Calibri"/>
                <w:color w:val="000000"/>
                <w:sz w:val="27"/>
                <w:szCs w:val="27"/>
                <w:u w:val="single"/>
                <w:lang w:val="en-GB" w:eastAsia="en-GB"/>
              </w:rPr>
              <w:lastRenderedPageBreak/>
              <w:t>Research​</w:t>
            </w:r>
          </w:p>
        </w:tc>
        <w:tc>
          <w:tcPr>
            <w:tcW w:w="10193" w:type="dxa"/>
            <w:tcBorders>
              <w:top w:val="single" w:sz="6" w:space="0" w:color="FFFFFF"/>
              <w:left w:val="single" w:sz="6" w:space="0" w:color="FFFFFF"/>
              <w:bottom w:val="single" w:sz="6" w:space="0" w:color="FFFFFF"/>
              <w:right w:val="single" w:sz="6" w:space="0" w:color="FFFFFF"/>
            </w:tcBorders>
            <w:shd w:val="clear" w:color="auto" w:fill="CFD5EA"/>
            <w:hideMark/>
          </w:tcPr>
          <w:p w14:paraId="3D32137D" w14:textId="77777777" w:rsidR="002A139C" w:rsidRPr="002A139C" w:rsidRDefault="002A139C" w:rsidP="002A139C">
            <w:pPr>
              <w:textAlignment w:val="baseline"/>
              <w:rPr>
                <w:rFonts w:ascii="Calibri" w:eastAsia="Times New Roman" w:hAnsi="Calibri" w:cs="Calibri"/>
                <w:color w:val="000000"/>
                <w:sz w:val="27"/>
                <w:szCs w:val="27"/>
                <w:lang w:val="en-GB" w:eastAsia="en-GB"/>
              </w:rPr>
            </w:pPr>
            <w:r w:rsidRPr="002A139C">
              <w:rPr>
                <w:rFonts w:ascii="Calibri" w:eastAsia="Times New Roman" w:hAnsi="Calibri" w:cs="Calibri"/>
                <w:color w:val="000000"/>
                <w:sz w:val="27"/>
                <w:szCs w:val="27"/>
                <w:lang w:val="en-GB" w:eastAsia="en-GB"/>
              </w:rPr>
              <w:t xml:space="preserve">We define research as creating significant new knowledge.  Often this uses what is already known to bring into practice new ideas, </w:t>
            </w:r>
            <w:proofErr w:type="gramStart"/>
            <w:r w:rsidRPr="002A139C">
              <w:rPr>
                <w:rFonts w:ascii="Calibri" w:eastAsia="Times New Roman" w:hAnsi="Calibri" w:cs="Calibri"/>
                <w:color w:val="000000"/>
                <w:sz w:val="27"/>
                <w:szCs w:val="27"/>
                <w:lang w:val="en-GB" w:eastAsia="en-GB"/>
              </w:rPr>
              <w:t>theories</w:t>
            </w:r>
            <w:proofErr w:type="gramEnd"/>
            <w:r w:rsidRPr="002A139C">
              <w:rPr>
                <w:rFonts w:ascii="Calibri" w:eastAsia="Times New Roman" w:hAnsi="Calibri" w:cs="Calibri"/>
                <w:color w:val="000000"/>
                <w:sz w:val="27"/>
                <w:szCs w:val="27"/>
                <w:lang w:val="en-GB" w:eastAsia="en-GB"/>
              </w:rPr>
              <w:t xml:space="preserve"> and methodologies.​</w:t>
            </w:r>
          </w:p>
        </w:tc>
      </w:tr>
      <w:tr w:rsidR="002A139C" w:rsidRPr="002A139C" w14:paraId="135C4C0F"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CFD5EA"/>
            <w:hideMark/>
          </w:tcPr>
          <w:p w14:paraId="57925A0C" w14:textId="77777777" w:rsidR="002A139C" w:rsidRPr="002A139C" w:rsidRDefault="002A139C" w:rsidP="002A139C">
            <w:pPr>
              <w:textAlignment w:val="baseline"/>
              <w:rPr>
                <w:rFonts w:ascii="Calibri" w:eastAsia="Times New Roman" w:hAnsi="Calibri" w:cs="Calibri"/>
                <w:color w:val="000000"/>
                <w:sz w:val="27"/>
                <w:szCs w:val="27"/>
                <w:u w:val="single"/>
                <w:lang w:val="en-GB" w:eastAsia="en-GB"/>
              </w:rPr>
            </w:pPr>
            <w:r w:rsidRPr="002A139C">
              <w:rPr>
                <w:rFonts w:ascii="Calibri" w:eastAsia="Times New Roman" w:hAnsi="Calibri" w:cs="Calibri"/>
                <w:color w:val="000000"/>
                <w:sz w:val="27"/>
                <w:szCs w:val="27"/>
                <w:u w:val="single"/>
                <w:lang w:val="en-GB" w:eastAsia="en-GB"/>
              </w:rPr>
              <w:t>Innovative Learning Environments​</w:t>
            </w:r>
          </w:p>
        </w:tc>
        <w:tc>
          <w:tcPr>
            <w:tcW w:w="10193" w:type="dxa"/>
            <w:tcBorders>
              <w:top w:val="single" w:sz="6" w:space="0" w:color="FFFFFF"/>
              <w:left w:val="single" w:sz="6" w:space="0" w:color="FFFFFF"/>
              <w:bottom w:val="single" w:sz="6" w:space="0" w:color="FFFFFF"/>
              <w:right w:val="single" w:sz="6" w:space="0" w:color="FFFFFF"/>
            </w:tcBorders>
            <w:shd w:val="clear" w:color="auto" w:fill="CFD5EA"/>
            <w:hideMark/>
          </w:tcPr>
          <w:p w14:paraId="24956BFB" w14:textId="77777777" w:rsidR="002A139C" w:rsidRPr="002A139C" w:rsidRDefault="002A139C" w:rsidP="002A139C">
            <w:pPr>
              <w:textAlignment w:val="baseline"/>
              <w:rPr>
                <w:rFonts w:ascii="Calibri" w:eastAsia="Times New Roman" w:hAnsi="Calibri" w:cs="Calibri"/>
                <w:color w:val="000000"/>
                <w:sz w:val="27"/>
                <w:szCs w:val="27"/>
                <w:lang w:val="en-GB" w:eastAsia="en-GB"/>
              </w:rPr>
            </w:pPr>
            <w:r w:rsidRPr="002A139C">
              <w:rPr>
                <w:rFonts w:ascii="Calibri" w:eastAsia="Times New Roman" w:hAnsi="Calibri" w:cs="Calibri"/>
                <w:color w:val="000000"/>
                <w:sz w:val="27"/>
                <w:szCs w:val="27"/>
                <w:lang w:val="en-GB" w:eastAsia="en-GB"/>
              </w:rPr>
              <w:t>An innovative learning environment is what emerges when spatial designs are intentionally used as a pedagogic tool to improve student learning. This environment is the sum of the space and the practices within, the product created by specifically designing spaces to add new value to existing practices.​</w:t>
            </w:r>
          </w:p>
        </w:tc>
      </w:tr>
      <w:tr w:rsidR="002A139C" w:rsidRPr="002A139C" w14:paraId="527BEEC0"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CFD5EA"/>
            <w:hideMark/>
          </w:tcPr>
          <w:p w14:paraId="56DEA70D" w14:textId="77777777" w:rsidR="002A139C" w:rsidRPr="002A139C" w:rsidRDefault="002A139C" w:rsidP="002A139C">
            <w:pPr>
              <w:textAlignment w:val="baseline"/>
              <w:rPr>
                <w:rFonts w:ascii="Calibri" w:eastAsia="Times New Roman" w:hAnsi="Calibri" w:cs="Calibri"/>
                <w:color w:val="000000"/>
                <w:sz w:val="27"/>
                <w:szCs w:val="27"/>
                <w:u w:val="single"/>
                <w:lang w:val="en-GB" w:eastAsia="en-GB"/>
              </w:rPr>
            </w:pPr>
            <w:r w:rsidRPr="002A139C">
              <w:rPr>
                <w:rFonts w:ascii="Calibri" w:eastAsia="Times New Roman" w:hAnsi="Calibri" w:cs="Calibri"/>
                <w:color w:val="000000"/>
                <w:sz w:val="27"/>
                <w:szCs w:val="27"/>
                <w:u w:val="single"/>
                <w:lang w:val="en-GB" w:eastAsia="en-GB"/>
              </w:rPr>
              <w:t>​</w:t>
            </w:r>
          </w:p>
        </w:tc>
        <w:tc>
          <w:tcPr>
            <w:tcW w:w="10193" w:type="dxa"/>
            <w:tcBorders>
              <w:top w:val="single" w:sz="6" w:space="0" w:color="FFFFFF"/>
              <w:left w:val="single" w:sz="6" w:space="0" w:color="FFFFFF"/>
              <w:bottom w:val="single" w:sz="6" w:space="0" w:color="FFFFFF"/>
              <w:right w:val="single" w:sz="6" w:space="0" w:color="FFFFFF"/>
            </w:tcBorders>
            <w:shd w:val="clear" w:color="auto" w:fill="CFD5EA"/>
            <w:hideMark/>
          </w:tcPr>
          <w:p w14:paraId="36BB8221" w14:textId="77777777" w:rsidR="002A139C" w:rsidRPr="002A139C" w:rsidRDefault="002A139C" w:rsidP="002A139C">
            <w:pPr>
              <w:textAlignment w:val="baseline"/>
              <w:rPr>
                <w:rFonts w:ascii="Calibri" w:eastAsia="Times New Roman" w:hAnsi="Calibri" w:cs="Calibri"/>
                <w:color w:val="000000"/>
                <w:sz w:val="27"/>
                <w:szCs w:val="27"/>
                <w:lang w:val="en-GB" w:eastAsia="en-GB"/>
              </w:rPr>
            </w:pPr>
            <w:r w:rsidRPr="002A139C">
              <w:rPr>
                <w:rFonts w:ascii="Calibri" w:eastAsia="Times New Roman" w:hAnsi="Calibri" w:cs="Calibri"/>
                <w:color w:val="000000"/>
                <w:sz w:val="27"/>
                <w:szCs w:val="27"/>
                <w:lang w:val="en-GB" w:eastAsia="en-GB"/>
              </w:rPr>
              <w:t>​</w:t>
            </w:r>
          </w:p>
        </w:tc>
      </w:tr>
      <w:tr w:rsidR="002A139C" w:rsidRPr="002A139C" w14:paraId="1D127A5E" w14:textId="77777777" w:rsidTr="002A139C">
        <w:trPr>
          <w:trHeight w:val="461"/>
        </w:trPr>
        <w:tc>
          <w:tcPr>
            <w:tcW w:w="2855" w:type="dxa"/>
            <w:tcBorders>
              <w:top w:val="single" w:sz="6" w:space="0" w:color="FFFFFF"/>
              <w:left w:val="single" w:sz="6" w:space="0" w:color="FFFFFF"/>
              <w:bottom w:val="single" w:sz="6" w:space="0" w:color="FFFFFF"/>
              <w:right w:val="single" w:sz="6" w:space="0" w:color="FFFFFF"/>
            </w:tcBorders>
            <w:shd w:val="clear" w:color="auto" w:fill="CFD5EA"/>
            <w:hideMark/>
          </w:tcPr>
          <w:p w14:paraId="77830F84" w14:textId="77777777" w:rsidR="002A139C" w:rsidRPr="002A139C" w:rsidRDefault="002A139C" w:rsidP="002A139C">
            <w:pPr>
              <w:textAlignment w:val="baseline"/>
              <w:rPr>
                <w:rFonts w:ascii="Calibri" w:eastAsia="Times New Roman" w:hAnsi="Calibri" w:cs="Calibri"/>
                <w:color w:val="000000"/>
                <w:sz w:val="27"/>
                <w:szCs w:val="27"/>
                <w:u w:val="single"/>
                <w:lang w:val="en-GB" w:eastAsia="en-GB"/>
              </w:rPr>
            </w:pPr>
            <w:r w:rsidRPr="002A139C">
              <w:rPr>
                <w:rFonts w:ascii="Calibri" w:eastAsia="Times New Roman" w:hAnsi="Calibri" w:cs="Calibri"/>
                <w:color w:val="000000"/>
                <w:sz w:val="27"/>
                <w:szCs w:val="27"/>
                <w:u w:val="single"/>
                <w:lang w:val="en-GB" w:eastAsia="en-GB"/>
              </w:rPr>
              <w:t>​</w:t>
            </w:r>
          </w:p>
        </w:tc>
        <w:tc>
          <w:tcPr>
            <w:tcW w:w="10193" w:type="dxa"/>
            <w:tcBorders>
              <w:top w:val="single" w:sz="6" w:space="0" w:color="FFFFFF"/>
              <w:left w:val="single" w:sz="6" w:space="0" w:color="FFFFFF"/>
              <w:bottom w:val="single" w:sz="6" w:space="0" w:color="FFFFFF"/>
              <w:right w:val="single" w:sz="6" w:space="0" w:color="FFFFFF"/>
            </w:tcBorders>
            <w:shd w:val="clear" w:color="auto" w:fill="CFD5EA"/>
            <w:hideMark/>
          </w:tcPr>
          <w:p w14:paraId="79F73E00" w14:textId="77777777" w:rsidR="002A139C" w:rsidRPr="002A139C" w:rsidRDefault="002A139C" w:rsidP="002A139C">
            <w:pPr>
              <w:textAlignment w:val="baseline"/>
              <w:rPr>
                <w:rFonts w:ascii="Calibri" w:eastAsia="Times New Roman" w:hAnsi="Calibri" w:cs="Calibri"/>
                <w:color w:val="000000"/>
                <w:sz w:val="27"/>
                <w:szCs w:val="27"/>
                <w:lang w:val="en-GB" w:eastAsia="en-GB"/>
              </w:rPr>
            </w:pPr>
            <w:r w:rsidRPr="002A139C">
              <w:rPr>
                <w:rFonts w:ascii="Calibri" w:eastAsia="Times New Roman" w:hAnsi="Calibri" w:cs="Calibri"/>
                <w:color w:val="000000"/>
                <w:sz w:val="27"/>
                <w:szCs w:val="27"/>
                <w:lang w:val="en-GB" w:eastAsia="en-GB"/>
              </w:rPr>
              <w:t>​</w:t>
            </w:r>
          </w:p>
        </w:tc>
      </w:tr>
    </w:tbl>
    <w:p w14:paraId="06AEDBBA" w14:textId="77777777" w:rsidR="002A139C" w:rsidRDefault="002A139C"/>
    <w:sectPr w:rsidR="002A139C" w:rsidSect="002A139C">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0058" w14:textId="77777777" w:rsidR="00A37E4F" w:rsidRDefault="00A37E4F" w:rsidP="002A139C">
      <w:r>
        <w:separator/>
      </w:r>
    </w:p>
  </w:endnote>
  <w:endnote w:type="continuationSeparator" w:id="0">
    <w:p w14:paraId="76586994" w14:textId="77777777" w:rsidR="00A37E4F" w:rsidRDefault="00A37E4F" w:rsidP="002A1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0B389B" w14:textId="77777777" w:rsidR="00A37E4F" w:rsidRDefault="00A37E4F" w:rsidP="002A139C">
      <w:r>
        <w:separator/>
      </w:r>
    </w:p>
  </w:footnote>
  <w:footnote w:type="continuationSeparator" w:id="0">
    <w:p w14:paraId="3E2C4759" w14:textId="77777777" w:rsidR="00A37E4F" w:rsidRDefault="00A37E4F" w:rsidP="002A13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2A115" w14:textId="68F8974B" w:rsidR="002A139C" w:rsidRPr="00285D97" w:rsidRDefault="002A139C" w:rsidP="002A139C">
    <w:pPr>
      <w:pStyle w:val="Header"/>
      <w:jc w:val="right"/>
      <w:rPr>
        <w:i/>
        <w:iCs/>
        <w:sz w:val="20"/>
        <w:szCs w:val="20"/>
      </w:rPr>
    </w:pPr>
    <w:r>
      <w:rPr>
        <w:noProof/>
      </w:rPr>
      <w:drawing>
        <wp:inline distT="0" distB="0" distL="0" distR="0" wp14:anchorId="746AADFE" wp14:editId="3BA1E3C8">
          <wp:extent cx="1275080" cy="597575"/>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49395" cy="632403"/>
                  </a:xfrm>
                  <a:prstGeom prst="rect">
                    <a:avLst/>
                  </a:prstGeom>
                </pic:spPr>
              </pic:pic>
            </a:graphicData>
          </a:graphic>
        </wp:inline>
      </w:drawing>
    </w:r>
    <w:r>
      <w:rPr>
        <w:i/>
        <w:iCs/>
        <w:sz w:val="20"/>
        <w:szCs w:val="20"/>
      </w:rPr>
      <w:t xml:space="preserve">                                                                                                           </w:t>
    </w:r>
    <w:r>
      <w:rPr>
        <w:i/>
        <w:iCs/>
        <w:sz w:val="20"/>
        <w:szCs w:val="20"/>
      </w:rPr>
      <w:t xml:space="preserve">            </w:t>
    </w:r>
    <w:r>
      <w:rPr>
        <w:i/>
        <w:iCs/>
        <w:sz w:val="20"/>
        <w:szCs w:val="20"/>
      </w:rPr>
      <w:t xml:space="preserve">                  </w:t>
    </w:r>
    <w:r w:rsidRPr="00285D97">
      <w:rPr>
        <w:i/>
        <w:iCs/>
        <w:sz w:val="20"/>
        <w:szCs w:val="20"/>
      </w:rPr>
      <w:t xml:space="preserve">ILE+SE Scoping Study.  </w:t>
    </w:r>
    <w:r>
      <w:rPr>
        <w:i/>
        <w:iCs/>
        <w:sz w:val="20"/>
        <w:szCs w:val="20"/>
      </w:rPr>
      <w:t>Defining the key terms</w:t>
    </w:r>
    <w:r w:rsidRPr="00285D97">
      <w:rPr>
        <w:i/>
        <w:iCs/>
        <w:sz w:val="20"/>
        <w:szCs w:val="20"/>
      </w:rPr>
      <w:t>.</w:t>
    </w:r>
    <w:r>
      <w:rPr>
        <w:i/>
        <w:iCs/>
        <w:sz w:val="20"/>
        <w:szCs w:val="20"/>
      </w:rPr>
      <w:t xml:space="preserve"> August/September 2021</w:t>
    </w:r>
  </w:p>
  <w:p w14:paraId="18B9BD1C" w14:textId="77777777" w:rsidR="002A139C" w:rsidRDefault="002A139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50C"/>
    <w:rsid w:val="002A0E10"/>
    <w:rsid w:val="002A139C"/>
    <w:rsid w:val="003424E3"/>
    <w:rsid w:val="0062450C"/>
    <w:rsid w:val="00831F96"/>
    <w:rsid w:val="009772D4"/>
    <w:rsid w:val="009D6272"/>
    <w:rsid w:val="00A37E4F"/>
    <w:rsid w:val="00BA6BD6"/>
    <w:rsid w:val="00D6071E"/>
    <w:rsid w:val="00D63465"/>
    <w:rsid w:val="00DE63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1BDF9AA2"/>
  <w15:chartTrackingRefBased/>
  <w15:docId w15:val="{9643F863-011F-7742-B0A0-FCAB50EA9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39C"/>
    <w:pPr>
      <w:tabs>
        <w:tab w:val="center" w:pos="4513"/>
        <w:tab w:val="right" w:pos="9026"/>
      </w:tabs>
    </w:pPr>
  </w:style>
  <w:style w:type="character" w:customStyle="1" w:styleId="HeaderChar">
    <w:name w:val="Header Char"/>
    <w:basedOn w:val="DefaultParagraphFont"/>
    <w:link w:val="Header"/>
    <w:uiPriority w:val="99"/>
    <w:rsid w:val="002A139C"/>
  </w:style>
  <w:style w:type="paragraph" w:styleId="Footer">
    <w:name w:val="footer"/>
    <w:basedOn w:val="Normal"/>
    <w:link w:val="FooterChar"/>
    <w:uiPriority w:val="99"/>
    <w:unhideWhenUsed/>
    <w:rsid w:val="002A139C"/>
    <w:pPr>
      <w:tabs>
        <w:tab w:val="center" w:pos="4513"/>
        <w:tab w:val="right" w:pos="9026"/>
      </w:tabs>
    </w:pPr>
  </w:style>
  <w:style w:type="character" w:customStyle="1" w:styleId="FooterChar">
    <w:name w:val="Footer Char"/>
    <w:basedOn w:val="DefaultParagraphFont"/>
    <w:link w:val="Footer"/>
    <w:uiPriority w:val="99"/>
    <w:rsid w:val="002A139C"/>
  </w:style>
  <w:style w:type="paragraph" w:customStyle="1" w:styleId="paragraph">
    <w:name w:val="paragraph"/>
    <w:basedOn w:val="Normal"/>
    <w:rsid w:val="002A139C"/>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A139C"/>
  </w:style>
  <w:style w:type="character" w:customStyle="1" w:styleId="eop">
    <w:name w:val="eop"/>
    <w:basedOn w:val="DefaultParagraphFont"/>
    <w:rsid w:val="002A13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127360">
      <w:bodyDiv w:val="1"/>
      <w:marLeft w:val="0"/>
      <w:marRight w:val="0"/>
      <w:marTop w:val="0"/>
      <w:marBottom w:val="0"/>
      <w:divBdr>
        <w:top w:val="none" w:sz="0" w:space="0" w:color="auto"/>
        <w:left w:val="none" w:sz="0" w:space="0" w:color="auto"/>
        <w:bottom w:val="none" w:sz="0" w:space="0" w:color="auto"/>
        <w:right w:val="none" w:sz="0" w:space="0" w:color="auto"/>
      </w:divBdr>
      <w:divsChild>
        <w:div w:id="1515651943">
          <w:marLeft w:val="0"/>
          <w:marRight w:val="0"/>
          <w:marTop w:val="0"/>
          <w:marBottom w:val="0"/>
          <w:divBdr>
            <w:top w:val="none" w:sz="0" w:space="0" w:color="auto"/>
            <w:left w:val="none" w:sz="0" w:space="0" w:color="auto"/>
            <w:bottom w:val="none" w:sz="0" w:space="0" w:color="auto"/>
            <w:right w:val="none" w:sz="0" w:space="0" w:color="auto"/>
          </w:divBdr>
          <w:divsChild>
            <w:div w:id="732243566">
              <w:marLeft w:val="0"/>
              <w:marRight w:val="0"/>
              <w:marTop w:val="0"/>
              <w:marBottom w:val="0"/>
              <w:divBdr>
                <w:top w:val="none" w:sz="0" w:space="0" w:color="auto"/>
                <w:left w:val="none" w:sz="0" w:space="0" w:color="auto"/>
                <w:bottom w:val="none" w:sz="0" w:space="0" w:color="auto"/>
                <w:right w:val="none" w:sz="0" w:space="0" w:color="auto"/>
              </w:divBdr>
            </w:div>
          </w:divsChild>
        </w:div>
        <w:div w:id="602028924">
          <w:marLeft w:val="0"/>
          <w:marRight w:val="0"/>
          <w:marTop w:val="0"/>
          <w:marBottom w:val="0"/>
          <w:divBdr>
            <w:top w:val="none" w:sz="0" w:space="0" w:color="auto"/>
            <w:left w:val="none" w:sz="0" w:space="0" w:color="auto"/>
            <w:bottom w:val="none" w:sz="0" w:space="0" w:color="auto"/>
            <w:right w:val="none" w:sz="0" w:space="0" w:color="auto"/>
          </w:divBdr>
          <w:divsChild>
            <w:div w:id="91050957">
              <w:marLeft w:val="0"/>
              <w:marRight w:val="0"/>
              <w:marTop w:val="0"/>
              <w:marBottom w:val="0"/>
              <w:divBdr>
                <w:top w:val="none" w:sz="0" w:space="0" w:color="auto"/>
                <w:left w:val="none" w:sz="0" w:space="0" w:color="auto"/>
                <w:bottom w:val="none" w:sz="0" w:space="0" w:color="auto"/>
                <w:right w:val="none" w:sz="0" w:space="0" w:color="auto"/>
              </w:divBdr>
            </w:div>
            <w:div w:id="1873180094">
              <w:marLeft w:val="0"/>
              <w:marRight w:val="0"/>
              <w:marTop w:val="0"/>
              <w:marBottom w:val="0"/>
              <w:divBdr>
                <w:top w:val="none" w:sz="0" w:space="0" w:color="auto"/>
                <w:left w:val="none" w:sz="0" w:space="0" w:color="auto"/>
                <w:bottom w:val="none" w:sz="0" w:space="0" w:color="auto"/>
                <w:right w:val="none" w:sz="0" w:space="0" w:color="auto"/>
              </w:divBdr>
            </w:div>
            <w:div w:id="843781130">
              <w:marLeft w:val="0"/>
              <w:marRight w:val="0"/>
              <w:marTop w:val="0"/>
              <w:marBottom w:val="0"/>
              <w:divBdr>
                <w:top w:val="none" w:sz="0" w:space="0" w:color="auto"/>
                <w:left w:val="none" w:sz="0" w:space="0" w:color="auto"/>
                <w:bottom w:val="none" w:sz="0" w:space="0" w:color="auto"/>
                <w:right w:val="none" w:sz="0" w:space="0" w:color="auto"/>
              </w:divBdr>
            </w:div>
            <w:div w:id="1504783047">
              <w:marLeft w:val="0"/>
              <w:marRight w:val="0"/>
              <w:marTop w:val="0"/>
              <w:marBottom w:val="0"/>
              <w:divBdr>
                <w:top w:val="none" w:sz="0" w:space="0" w:color="auto"/>
                <w:left w:val="none" w:sz="0" w:space="0" w:color="auto"/>
                <w:bottom w:val="none" w:sz="0" w:space="0" w:color="auto"/>
                <w:right w:val="none" w:sz="0" w:space="0" w:color="auto"/>
              </w:divBdr>
            </w:div>
          </w:divsChild>
        </w:div>
        <w:div w:id="10231354">
          <w:marLeft w:val="0"/>
          <w:marRight w:val="0"/>
          <w:marTop w:val="0"/>
          <w:marBottom w:val="0"/>
          <w:divBdr>
            <w:top w:val="none" w:sz="0" w:space="0" w:color="auto"/>
            <w:left w:val="none" w:sz="0" w:space="0" w:color="auto"/>
            <w:bottom w:val="none" w:sz="0" w:space="0" w:color="auto"/>
            <w:right w:val="none" w:sz="0" w:space="0" w:color="auto"/>
          </w:divBdr>
          <w:divsChild>
            <w:div w:id="231045001">
              <w:marLeft w:val="0"/>
              <w:marRight w:val="0"/>
              <w:marTop w:val="0"/>
              <w:marBottom w:val="0"/>
              <w:divBdr>
                <w:top w:val="none" w:sz="0" w:space="0" w:color="auto"/>
                <w:left w:val="none" w:sz="0" w:space="0" w:color="auto"/>
                <w:bottom w:val="none" w:sz="0" w:space="0" w:color="auto"/>
                <w:right w:val="none" w:sz="0" w:space="0" w:color="auto"/>
              </w:divBdr>
            </w:div>
          </w:divsChild>
        </w:div>
        <w:div w:id="2000108400">
          <w:marLeft w:val="0"/>
          <w:marRight w:val="0"/>
          <w:marTop w:val="0"/>
          <w:marBottom w:val="0"/>
          <w:divBdr>
            <w:top w:val="none" w:sz="0" w:space="0" w:color="auto"/>
            <w:left w:val="none" w:sz="0" w:space="0" w:color="auto"/>
            <w:bottom w:val="none" w:sz="0" w:space="0" w:color="auto"/>
            <w:right w:val="none" w:sz="0" w:space="0" w:color="auto"/>
          </w:divBdr>
          <w:divsChild>
            <w:div w:id="983268120">
              <w:marLeft w:val="0"/>
              <w:marRight w:val="0"/>
              <w:marTop w:val="0"/>
              <w:marBottom w:val="0"/>
              <w:divBdr>
                <w:top w:val="none" w:sz="0" w:space="0" w:color="auto"/>
                <w:left w:val="none" w:sz="0" w:space="0" w:color="auto"/>
                <w:bottom w:val="none" w:sz="0" w:space="0" w:color="auto"/>
                <w:right w:val="none" w:sz="0" w:space="0" w:color="auto"/>
              </w:divBdr>
            </w:div>
          </w:divsChild>
        </w:div>
        <w:div w:id="2128044768">
          <w:marLeft w:val="0"/>
          <w:marRight w:val="0"/>
          <w:marTop w:val="0"/>
          <w:marBottom w:val="0"/>
          <w:divBdr>
            <w:top w:val="none" w:sz="0" w:space="0" w:color="auto"/>
            <w:left w:val="none" w:sz="0" w:space="0" w:color="auto"/>
            <w:bottom w:val="none" w:sz="0" w:space="0" w:color="auto"/>
            <w:right w:val="none" w:sz="0" w:space="0" w:color="auto"/>
          </w:divBdr>
          <w:divsChild>
            <w:div w:id="1295061774">
              <w:marLeft w:val="0"/>
              <w:marRight w:val="0"/>
              <w:marTop w:val="0"/>
              <w:marBottom w:val="0"/>
              <w:divBdr>
                <w:top w:val="none" w:sz="0" w:space="0" w:color="auto"/>
                <w:left w:val="none" w:sz="0" w:space="0" w:color="auto"/>
                <w:bottom w:val="none" w:sz="0" w:space="0" w:color="auto"/>
                <w:right w:val="none" w:sz="0" w:space="0" w:color="auto"/>
              </w:divBdr>
            </w:div>
          </w:divsChild>
        </w:div>
        <w:div w:id="1947806961">
          <w:marLeft w:val="0"/>
          <w:marRight w:val="0"/>
          <w:marTop w:val="0"/>
          <w:marBottom w:val="0"/>
          <w:divBdr>
            <w:top w:val="none" w:sz="0" w:space="0" w:color="auto"/>
            <w:left w:val="none" w:sz="0" w:space="0" w:color="auto"/>
            <w:bottom w:val="none" w:sz="0" w:space="0" w:color="auto"/>
            <w:right w:val="none" w:sz="0" w:space="0" w:color="auto"/>
          </w:divBdr>
          <w:divsChild>
            <w:div w:id="160380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8448">
      <w:bodyDiv w:val="1"/>
      <w:marLeft w:val="0"/>
      <w:marRight w:val="0"/>
      <w:marTop w:val="0"/>
      <w:marBottom w:val="0"/>
      <w:divBdr>
        <w:top w:val="none" w:sz="0" w:space="0" w:color="auto"/>
        <w:left w:val="none" w:sz="0" w:space="0" w:color="auto"/>
        <w:bottom w:val="none" w:sz="0" w:space="0" w:color="auto"/>
        <w:right w:val="none" w:sz="0" w:space="0" w:color="auto"/>
      </w:divBdr>
      <w:divsChild>
        <w:div w:id="1373379078">
          <w:marLeft w:val="0"/>
          <w:marRight w:val="0"/>
          <w:marTop w:val="0"/>
          <w:marBottom w:val="0"/>
          <w:divBdr>
            <w:top w:val="none" w:sz="0" w:space="0" w:color="auto"/>
            <w:left w:val="none" w:sz="0" w:space="0" w:color="auto"/>
            <w:bottom w:val="none" w:sz="0" w:space="0" w:color="auto"/>
            <w:right w:val="none" w:sz="0" w:space="0" w:color="auto"/>
          </w:divBdr>
          <w:divsChild>
            <w:div w:id="285821292">
              <w:marLeft w:val="0"/>
              <w:marRight w:val="0"/>
              <w:marTop w:val="0"/>
              <w:marBottom w:val="0"/>
              <w:divBdr>
                <w:top w:val="none" w:sz="0" w:space="0" w:color="auto"/>
                <w:left w:val="none" w:sz="0" w:space="0" w:color="auto"/>
                <w:bottom w:val="none" w:sz="0" w:space="0" w:color="auto"/>
                <w:right w:val="none" w:sz="0" w:space="0" w:color="auto"/>
              </w:divBdr>
            </w:div>
          </w:divsChild>
        </w:div>
        <w:div w:id="65692053">
          <w:marLeft w:val="0"/>
          <w:marRight w:val="0"/>
          <w:marTop w:val="0"/>
          <w:marBottom w:val="0"/>
          <w:divBdr>
            <w:top w:val="none" w:sz="0" w:space="0" w:color="auto"/>
            <w:left w:val="none" w:sz="0" w:space="0" w:color="auto"/>
            <w:bottom w:val="none" w:sz="0" w:space="0" w:color="auto"/>
            <w:right w:val="none" w:sz="0" w:space="0" w:color="auto"/>
          </w:divBdr>
          <w:divsChild>
            <w:div w:id="1859152046">
              <w:marLeft w:val="0"/>
              <w:marRight w:val="0"/>
              <w:marTop w:val="0"/>
              <w:marBottom w:val="0"/>
              <w:divBdr>
                <w:top w:val="none" w:sz="0" w:space="0" w:color="auto"/>
                <w:left w:val="none" w:sz="0" w:space="0" w:color="auto"/>
                <w:bottom w:val="none" w:sz="0" w:space="0" w:color="auto"/>
                <w:right w:val="none" w:sz="0" w:space="0" w:color="auto"/>
              </w:divBdr>
            </w:div>
          </w:divsChild>
        </w:div>
        <w:div w:id="984704483">
          <w:marLeft w:val="0"/>
          <w:marRight w:val="0"/>
          <w:marTop w:val="0"/>
          <w:marBottom w:val="0"/>
          <w:divBdr>
            <w:top w:val="none" w:sz="0" w:space="0" w:color="auto"/>
            <w:left w:val="none" w:sz="0" w:space="0" w:color="auto"/>
            <w:bottom w:val="none" w:sz="0" w:space="0" w:color="auto"/>
            <w:right w:val="none" w:sz="0" w:space="0" w:color="auto"/>
          </w:divBdr>
          <w:divsChild>
            <w:div w:id="828643134">
              <w:marLeft w:val="0"/>
              <w:marRight w:val="0"/>
              <w:marTop w:val="0"/>
              <w:marBottom w:val="0"/>
              <w:divBdr>
                <w:top w:val="none" w:sz="0" w:space="0" w:color="auto"/>
                <w:left w:val="none" w:sz="0" w:space="0" w:color="auto"/>
                <w:bottom w:val="none" w:sz="0" w:space="0" w:color="auto"/>
                <w:right w:val="none" w:sz="0" w:space="0" w:color="auto"/>
              </w:divBdr>
            </w:div>
          </w:divsChild>
        </w:div>
        <w:div w:id="331839589">
          <w:marLeft w:val="0"/>
          <w:marRight w:val="0"/>
          <w:marTop w:val="0"/>
          <w:marBottom w:val="0"/>
          <w:divBdr>
            <w:top w:val="none" w:sz="0" w:space="0" w:color="auto"/>
            <w:left w:val="none" w:sz="0" w:space="0" w:color="auto"/>
            <w:bottom w:val="none" w:sz="0" w:space="0" w:color="auto"/>
            <w:right w:val="none" w:sz="0" w:space="0" w:color="auto"/>
          </w:divBdr>
          <w:divsChild>
            <w:div w:id="1632782685">
              <w:marLeft w:val="0"/>
              <w:marRight w:val="0"/>
              <w:marTop w:val="0"/>
              <w:marBottom w:val="0"/>
              <w:divBdr>
                <w:top w:val="none" w:sz="0" w:space="0" w:color="auto"/>
                <w:left w:val="none" w:sz="0" w:space="0" w:color="auto"/>
                <w:bottom w:val="none" w:sz="0" w:space="0" w:color="auto"/>
                <w:right w:val="none" w:sz="0" w:space="0" w:color="auto"/>
              </w:divBdr>
            </w:div>
          </w:divsChild>
        </w:div>
        <w:div w:id="517543597">
          <w:marLeft w:val="0"/>
          <w:marRight w:val="0"/>
          <w:marTop w:val="0"/>
          <w:marBottom w:val="0"/>
          <w:divBdr>
            <w:top w:val="none" w:sz="0" w:space="0" w:color="auto"/>
            <w:left w:val="none" w:sz="0" w:space="0" w:color="auto"/>
            <w:bottom w:val="none" w:sz="0" w:space="0" w:color="auto"/>
            <w:right w:val="none" w:sz="0" w:space="0" w:color="auto"/>
          </w:divBdr>
          <w:divsChild>
            <w:div w:id="1896425872">
              <w:marLeft w:val="0"/>
              <w:marRight w:val="0"/>
              <w:marTop w:val="0"/>
              <w:marBottom w:val="0"/>
              <w:divBdr>
                <w:top w:val="none" w:sz="0" w:space="0" w:color="auto"/>
                <w:left w:val="none" w:sz="0" w:space="0" w:color="auto"/>
                <w:bottom w:val="none" w:sz="0" w:space="0" w:color="auto"/>
                <w:right w:val="none" w:sz="0" w:space="0" w:color="auto"/>
              </w:divBdr>
            </w:div>
          </w:divsChild>
        </w:div>
        <w:div w:id="542713572">
          <w:marLeft w:val="0"/>
          <w:marRight w:val="0"/>
          <w:marTop w:val="0"/>
          <w:marBottom w:val="0"/>
          <w:divBdr>
            <w:top w:val="none" w:sz="0" w:space="0" w:color="auto"/>
            <w:left w:val="none" w:sz="0" w:space="0" w:color="auto"/>
            <w:bottom w:val="none" w:sz="0" w:space="0" w:color="auto"/>
            <w:right w:val="none" w:sz="0" w:space="0" w:color="auto"/>
          </w:divBdr>
          <w:divsChild>
            <w:div w:id="1786849344">
              <w:marLeft w:val="0"/>
              <w:marRight w:val="0"/>
              <w:marTop w:val="0"/>
              <w:marBottom w:val="0"/>
              <w:divBdr>
                <w:top w:val="none" w:sz="0" w:space="0" w:color="auto"/>
                <w:left w:val="none" w:sz="0" w:space="0" w:color="auto"/>
                <w:bottom w:val="none" w:sz="0" w:space="0" w:color="auto"/>
                <w:right w:val="none" w:sz="0" w:space="0" w:color="auto"/>
              </w:divBdr>
            </w:div>
          </w:divsChild>
        </w:div>
        <w:div w:id="1871988508">
          <w:marLeft w:val="0"/>
          <w:marRight w:val="0"/>
          <w:marTop w:val="0"/>
          <w:marBottom w:val="0"/>
          <w:divBdr>
            <w:top w:val="none" w:sz="0" w:space="0" w:color="auto"/>
            <w:left w:val="none" w:sz="0" w:space="0" w:color="auto"/>
            <w:bottom w:val="none" w:sz="0" w:space="0" w:color="auto"/>
            <w:right w:val="none" w:sz="0" w:space="0" w:color="auto"/>
          </w:divBdr>
          <w:divsChild>
            <w:div w:id="113453098">
              <w:marLeft w:val="0"/>
              <w:marRight w:val="0"/>
              <w:marTop w:val="0"/>
              <w:marBottom w:val="0"/>
              <w:divBdr>
                <w:top w:val="none" w:sz="0" w:space="0" w:color="auto"/>
                <w:left w:val="none" w:sz="0" w:space="0" w:color="auto"/>
                <w:bottom w:val="none" w:sz="0" w:space="0" w:color="auto"/>
                <w:right w:val="none" w:sz="0" w:space="0" w:color="auto"/>
              </w:divBdr>
            </w:div>
          </w:divsChild>
        </w:div>
        <w:div w:id="665667154">
          <w:marLeft w:val="0"/>
          <w:marRight w:val="0"/>
          <w:marTop w:val="0"/>
          <w:marBottom w:val="0"/>
          <w:divBdr>
            <w:top w:val="none" w:sz="0" w:space="0" w:color="auto"/>
            <w:left w:val="none" w:sz="0" w:space="0" w:color="auto"/>
            <w:bottom w:val="none" w:sz="0" w:space="0" w:color="auto"/>
            <w:right w:val="none" w:sz="0" w:space="0" w:color="auto"/>
          </w:divBdr>
          <w:divsChild>
            <w:div w:id="22402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301</Words>
  <Characters>1717</Characters>
  <Application>Microsoft Office Word</Application>
  <DocSecurity>0</DocSecurity>
  <Lines>14</Lines>
  <Paragraphs>4</Paragraphs>
  <ScaleCrop>false</ScaleCrop>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Imms</dc:creator>
  <cp:keywords/>
  <dc:description/>
  <cp:lastModifiedBy>Wesley Imms</cp:lastModifiedBy>
  <cp:revision>3</cp:revision>
  <dcterms:created xsi:type="dcterms:W3CDTF">2021-07-19T05:05:00Z</dcterms:created>
  <dcterms:modified xsi:type="dcterms:W3CDTF">2021-07-19T06:46:00Z</dcterms:modified>
</cp:coreProperties>
</file>